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49DB7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/>
          <w:b/>
          <w:bCs/>
          <w:lang w:val="sr-Cyrl-RS"/>
        </w:rPr>
      </w:pPr>
      <w:r>
        <w:rPr>
          <w:rStyle w:val="9"/>
          <w:rFonts w:hint="default"/>
          <w:b w:val="0"/>
          <w:bCs w:val="0"/>
          <w:lang w:val="sr-Cyrl-RS"/>
        </w:rPr>
        <w:drawing>
          <wp:inline distT="0" distB="0" distL="114300" distR="114300">
            <wp:extent cx="3216275" cy="919480"/>
            <wp:effectExtent l="0" t="0" r="9525" b="7620"/>
            <wp:docPr id="1" name="Picture 1" descr="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rasmu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rFonts w:hint="default"/>
          <w:b/>
          <w:bCs/>
          <w:lang w:val="sr-Cyrl-RS"/>
        </w:rPr>
        <w:t xml:space="preserve">     </w:t>
      </w:r>
      <w:r>
        <w:rPr>
          <w:rStyle w:val="9"/>
          <w:rFonts w:hint="default"/>
          <w:b w:val="0"/>
          <w:bCs w:val="0"/>
          <w:lang w:val="sr-Cyrl-RS"/>
        </w:rPr>
        <w:drawing>
          <wp:inline distT="0" distB="0" distL="114300" distR="114300">
            <wp:extent cx="1132205" cy="1544955"/>
            <wp:effectExtent l="0" t="0" r="10795" b="4445"/>
            <wp:docPr id="3" name="Picture 3" descr="лого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лого школ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rFonts w:hint="default"/>
          <w:b/>
          <w:bCs/>
          <w:lang w:val="sr-Cyrl-RS"/>
        </w:rPr>
        <w:t xml:space="preserve">        </w:t>
      </w:r>
      <w:r>
        <w:rPr>
          <w:rStyle w:val="9"/>
          <w:rFonts w:hint="default"/>
          <w:b w:val="0"/>
          <w:bCs w:val="0"/>
          <w:lang w:val="sr-Cyrl-RS"/>
        </w:rPr>
        <w:drawing>
          <wp:inline distT="0" distB="0" distL="114300" distR="114300">
            <wp:extent cx="2721610" cy="690245"/>
            <wp:effectExtent l="0" t="0" r="8890" b="8255"/>
            <wp:docPr id="2" name="Picture 2" descr="te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mpu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D688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Style w:val="9"/>
          <w:rFonts w:hint="default" w:ascii="Times New Roman" w:hAnsi="Times New Roman" w:cs="Times New Roman"/>
          <w:sz w:val="32"/>
          <w:szCs w:val="32"/>
          <w:lang w:val="sr-Cyrl-RS"/>
        </w:rPr>
      </w:pPr>
    </w:p>
    <w:p w14:paraId="504EA4B7">
      <w:pPr>
        <w:pStyle w:val="4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ИЗБОРУ УЧЕСНИКА ЗА </w:t>
      </w: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JOB-SHADOWING</w:t>
      </w: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 У ОКВИРУ ЕРАСМУС + ПРОЈЕКТА ,,ШИРЕЊЕ ХОРИЗОНАТА - ЕДУКАЦИЈА БЕЗ ПРЕПРЕКА</w:t>
      </w:r>
    </w:p>
    <w:p w14:paraId="3BA30CF0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1. Увод</w:t>
      </w:r>
    </w:p>
    <w:p w14:paraId="397A5BCA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Пројекат 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>„Ширење хоризоната: Едукација без препрека“</w:t>
      </w:r>
      <w:r>
        <w:rPr>
          <w:rFonts w:hint="default" w:ascii="Times New Roman" w:hAnsi="Times New Roman" w:cs="Times New Roman"/>
          <w:sz w:val="24"/>
          <w:szCs w:val="24"/>
        </w:rPr>
        <w:t xml:space="preserve"> има за циљ пружање образовне и социјалне подршке ученицима из осетљивих група, као и побољшање мотивације за учење и развој социјалних вештина. У оквиру овог пројекта, ученици ће имати прилику да учествују у мобилности у Турску, што ће им омогућити да стекну нова искуства, прошире своје видике и побољшају своје комуникационе вештине.</w:t>
      </w:r>
    </w:p>
    <w:p w14:paraId="1B20D98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Како би се осигурало да кандидати буду изабрани на праведан начин, формирана је трочлана комисија која је спровела избор ученика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основу унапред дефинисаних критеријума.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Комисија се састојала од чланова наставница Јелена Симић, правник Александар Величковић и наставница Данијела Трајковић која је у тиму за пројекте. </w:t>
      </w:r>
      <w:r>
        <w:rPr>
          <w:rFonts w:hint="default" w:ascii="Times New Roman" w:hAnsi="Times New Roman" w:cs="Times New Roman"/>
          <w:sz w:val="24"/>
          <w:szCs w:val="24"/>
        </w:rPr>
        <w:t xml:space="preserve">Они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су извршили </w:t>
      </w:r>
      <w:r>
        <w:rPr>
          <w:rFonts w:hint="default" w:ascii="Times New Roman" w:hAnsi="Times New Roman" w:cs="Times New Roman"/>
          <w:sz w:val="24"/>
          <w:szCs w:val="24"/>
        </w:rPr>
        <w:t>преглед пријава, интервјуиса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ли кандидате</w:t>
      </w:r>
      <w:r>
        <w:rPr>
          <w:rFonts w:hint="default" w:ascii="Times New Roman" w:hAnsi="Times New Roman" w:cs="Times New Roman"/>
          <w:sz w:val="24"/>
          <w:szCs w:val="24"/>
        </w:rPr>
        <w:t xml:space="preserve"> и дон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ели</w:t>
      </w:r>
      <w:r>
        <w:rPr>
          <w:rFonts w:hint="default" w:ascii="Times New Roman" w:hAnsi="Times New Roman" w:cs="Times New Roman"/>
          <w:sz w:val="24"/>
          <w:szCs w:val="24"/>
        </w:rPr>
        <w:t xml:space="preserve"> одлуку.</w:t>
      </w:r>
    </w:p>
    <w:p w14:paraId="0F40A1CF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</w:pPr>
    </w:p>
    <w:p w14:paraId="424908FC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Style w:val="9"/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Објав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љен је позив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у установи</w:t>
      </w:r>
    </w:p>
    <w:p w14:paraId="2CF96B5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Управа школе објав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ила је</w:t>
      </w:r>
      <w:r>
        <w:rPr>
          <w:rFonts w:hint="default" w:ascii="Times New Roman" w:hAnsi="Times New Roman" w:cs="Times New Roman"/>
          <w:sz w:val="24"/>
          <w:szCs w:val="24"/>
        </w:rPr>
        <w:t xml:space="preserve"> интерни позив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свим запосленима, на огласној табли школе,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5. 2. 2025.</w:t>
      </w:r>
      <w:r>
        <w:rPr>
          <w:rFonts w:hint="default" w:ascii="Times New Roman" w:hAnsi="Times New Roman" w:cs="Times New Roman"/>
          <w:sz w:val="24"/>
          <w:szCs w:val="24"/>
        </w:rPr>
        <w:t>, у коме се нав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оде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0AE11937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сврха и циљеви мобилности,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која ће се одвијати у Турској у Анкари у мају месецу. Тачније од 12. до 16. маја 2025. године у основној школи Чанили Ортаокулу у Ајашу.</w:t>
      </w:r>
    </w:p>
    <w:p w14:paraId="5A2F5C57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врста активности ( job shadowing)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посматрање на радном месту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0835C44C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рок за пријаву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је 15. 2. 2025 године</w:t>
      </w:r>
      <w:r>
        <w:rPr>
          <w:rFonts w:hint="default" w:ascii="Times New Roman" w:hAnsi="Times New Roman" w:cs="Times New Roman"/>
          <w:sz w:val="24"/>
          <w:szCs w:val="24"/>
        </w:rPr>
        <w:t xml:space="preserve"> и потребна документација,</w:t>
      </w:r>
    </w:p>
    <w:p w14:paraId="57C70A83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- к</w:t>
      </w:r>
      <w:r>
        <w:rPr>
          <w:rFonts w:hint="default" w:ascii="Times New Roman" w:hAnsi="Times New Roman" w:cs="Times New Roman"/>
          <w:sz w:val="24"/>
          <w:szCs w:val="24"/>
        </w:rPr>
        <w:t>ритеријуми за одабир.</w:t>
      </w:r>
    </w:p>
    <w:p w14:paraId="4E9A2F4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Критеријуми за избор  обухватају: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3E157F1D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усклађеност професионалног профила са циљевима пројекта,</w:t>
      </w:r>
    </w:p>
    <w:p w14:paraId="2569F5A7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мотивација и очекивања кандидата (писмо мотивације),</w:t>
      </w:r>
    </w:p>
    <w:p w14:paraId="69A71FC9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допринос развоју школе по повратку (мултипликација резултата),</w:t>
      </w:r>
    </w:p>
    <w:p w14:paraId="77FD1E78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досадашње учешће у пројектима/обукама,</w:t>
      </w:r>
    </w:p>
    <w:p w14:paraId="02A01DC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спремност на дељење искустава (радионице, извештаји),</w:t>
      </w:r>
    </w:p>
    <w:p w14:paraId="35EF847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познавање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енглеског</w:t>
      </w:r>
      <w:r>
        <w:rPr>
          <w:rFonts w:hint="default" w:ascii="Times New Roman" w:hAnsi="Times New Roman" w:cs="Times New Roman"/>
          <w:sz w:val="24"/>
          <w:szCs w:val="24"/>
        </w:rPr>
        <w:t xml:space="preserve"> језика</w:t>
      </w:r>
    </w:p>
    <w:p w14:paraId="4E71C90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720" w:right="0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- активно учешће у раду тимова школе(предност имају чланови тима за инклузију и тима за професионални развој)</w:t>
      </w:r>
    </w:p>
    <w:p w14:paraId="6C34F6A6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Style w:val="9"/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Формира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на је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комисиј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а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за избор</w:t>
      </w:r>
    </w:p>
    <w:p w14:paraId="65CB737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Комисију чине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наставница Јелена Симић, правник Александар Величковић и наставница Данијела Трајковић која је у тиму за пројекте. </w:t>
      </w:r>
      <w:r>
        <w:rPr>
          <w:rFonts w:hint="default" w:ascii="Times New Roman" w:hAnsi="Times New Roman" w:cs="Times New Roman"/>
          <w:sz w:val="24"/>
          <w:szCs w:val="24"/>
        </w:rPr>
        <w:t xml:space="preserve">Они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су извршили </w:t>
      </w:r>
      <w:r>
        <w:rPr>
          <w:rFonts w:hint="default" w:ascii="Times New Roman" w:hAnsi="Times New Roman" w:cs="Times New Roman"/>
          <w:sz w:val="24"/>
          <w:szCs w:val="24"/>
        </w:rPr>
        <w:t>преглед пријава, интервјуиса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ли кандидате</w:t>
      </w:r>
      <w:r>
        <w:rPr>
          <w:rFonts w:hint="default" w:ascii="Times New Roman" w:hAnsi="Times New Roman" w:cs="Times New Roman"/>
          <w:sz w:val="24"/>
          <w:szCs w:val="24"/>
        </w:rPr>
        <w:t xml:space="preserve"> и дон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ели</w:t>
      </w:r>
      <w:r>
        <w:rPr>
          <w:rFonts w:hint="default" w:ascii="Times New Roman" w:hAnsi="Times New Roman" w:cs="Times New Roman"/>
          <w:sz w:val="24"/>
          <w:szCs w:val="24"/>
        </w:rPr>
        <w:t xml:space="preserve"> одлуку.</w:t>
      </w:r>
    </w:p>
    <w:p w14:paraId="7CB8116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9"/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Број пријављених кандидата:</w:t>
      </w:r>
    </w:p>
    <w:p w14:paraId="2CC5D60A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 интерни позив за учешће у мобилности пријавило се укупно пет кандидата: 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Ана Антић, професор енглеског језика, Слађана Петковић, педагог школе, Радмила Петковић Цветковић професор верске наставе, Маријана Кузељевић Јовановић професор математике и информатике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и професорка руског језика Данијела Трајковић.</w:t>
      </w:r>
    </w:p>
    <w:p w14:paraId="7DE0BC1D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Образложење одустајања једног кандидата:</w:t>
      </w:r>
    </w:p>
    <w:p w14:paraId="2E4E8EB3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Професорка руског језика Данијела Трајковић одустала је од учешћа у мобилности због породичних обавеза, пошто је самохрани родитељ детета са аутизмом и није у могућности да организује адекватну негу током трајања мобилности.</w:t>
      </w:r>
    </w:p>
    <w:p w14:paraId="32A505D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Жалбена процедура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:</w:t>
      </w:r>
    </w:p>
    <w:p w14:paraId="16931FF3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Није било жалби на процес селекције.</w:t>
      </w:r>
    </w:p>
    <w:p w14:paraId="622F3349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План дисеминације резултата:</w:t>
      </w:r>
    </w:p>
    <w:p w14:paraId="29E0CEE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По повратку са мобилности, учесници ће организовати унутрашње едукације за колеге у школи, као и презентацију на нивоу стручних већа ради преноса стечених знања и искустава.</w:t>
      </w:r>
    </w:p>
    <w:p w14:paraId="1038099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Комисија је д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>он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ела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одлук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у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и објављ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ени су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резултат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и:</w:t>
      </w:r>
    </w:p>
    <w:p w14:paraId="3AC521E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720"/>
        <w:jc w:val="left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Комисија је одлуку о избору учесника донела 25. априла 2025. године.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Одлука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је образложена усменим путем кандидатима, пошто су четири кандидата прошла селекцију, а пети кандидат је добровољно одустао, није било потребе образлагати писменим путем.</w:t>
      </w:r>
    </w:p>
    <w:p w14:paraId="25A5275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Style w:val="9"/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Потпис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>ани су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 уговор</w:t>
      </w:r>
      <w:r>
        <w:rPr>
          <w:rStyle w:val="9"/>
          <w:rFonts w:hint="default"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>са одабраним учесницима</w:t>
      </w:r>
    </w:p>
    <w:p w14:paraId="3991A99A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72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Изабрани учесници су 29. априла 2025. године потписали уговоре којима се обавезују да ће активно учествовати у припреми и реализацији мобилности, као и у дисеминацији резултата по повра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тку.</w:t>
      </w:r>
    </w:p>
    <w:p w14:paraId="66D6394A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72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</w:p>
    <w:p w14:paraId="5A1F211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Профили учесника мобилности – Job Shadowing</w:t>
      </w:r>
    </w:p>
    <w:p w14:paraId="13BA6A3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</w:p>
    <w:p w14:paraId="07C06D7C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Слађана Петковић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Педагошкиња школе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Слађана Петковић је дипломирани педагог са дугогодишњим искуством у области васпитно-образовног рада и подршке ученицима, наставницима и родитељима. Активно учествује у стручним тимовима школе, укључујући Тим за инклузивно образовање, Тим за заштиту ученика од насиља и Тим за професионални развој. Посебно је заинтересована за теме емоционалне подршке ученицима, развој социјалних вештина и примену савремених педагошких метода у школском контексту.</w:t>
      </w:r>
    </w:p>
    <w:p w14:paraId="72543138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37B05E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Ана Антић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Професор енглеског језика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Ана Антић је професор енглеског језика са богатим искуством у настави и иновацијама у наставном процесу. У својој настави примењује интерактивне методе рада, ИКТ алате и технике пројектне наставе. Посебно је заинтересована за интеркултурално учење, сарадњу школа у међународном контексту и усавршавање у области образовања за 21. век. Активно учествује у eTwinning пројектима и подржава развој језичке и дигиталне компетенције код ученика.</w:t>
      </w:r>
    </w:p>
    <w:p w14:paraId="66CDBEF8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A6254C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Радмила Петровић Цветковић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Вероучитељица, професор верске наставе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Радмила Петровић Цветковић је професор верске наставе са дугогодишњим искуством у раду са децом и младима. Посвећена је развоју међуљудских односа, интеркултуралног дијалога и неговању моралних и етичких вредности у образовању. У свом раду примењује методе које подстичу критичко мишљење, емпатију и активно учешће ученика. Велику пажњу посвећује васпитним аспектима образовања и учењу кроз пример.</w:t>
      </w:r>
    </w:p>
    <w:p w14:paraId="726A3164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4E422D7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Маријана Кузељевић Јовановић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Професор математике и информатике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Маријана Кузељевић Јовановић је професор математике и информатике са искуством у увођењу иновативних модела наставе, укључујући интегрисано учење, пројектно оријентисану наставу и дигиталне алате. У свом раду повезује математику и информатику са стварним животним ситуацијама и подстиче </w:t>
      </w:r>
      <w:r>
        <w:rPr>
          <w:rFonts w:hint="default" w:ascii="Times New Roman" w:hAnsi="Times New Roman" w:cs="Times New Roman"/>
          <w:sz w:val="24"/>
          <w:szCs w:val="24"/>
        </w:rPr>
        <w:t>ученике на логичко и критичко размишљање. Активно учествује у стручном усавршавању и подршци колегама у примени ИКТ-а у настави.</w:t>
      </w:r>
    </w:p>
    <w:p w14:paraId="07524876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C9AFF0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Додатне активности у оквиру мобилности </w:t>
      </w:r>
    </w:p>
    <w:p w14:paraId="460C215F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Планирање и организација радионица</w:t>
      </w:r>
    </w:p>
    <w:p w14:paraId="0B0817F6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- Сваки учесник ће имати задатак да организује радионицу у</w:t>
      </w: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sr-Cyrl-RS"/>
        </w:rPr>
        <w:t xml:space="preserve"> </w:t>
      </w: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школи по повратку, где ће делити стечена знања и искуства са осталим наставницима и ученицима.</w:t>
      </w:r>
    </w:p>
    <w:p w14:paraId="471E8781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- Предложене теме радионица укључују примену нових педагошких метода и иновација у настави. </w:t>
      </w:r>
    </w:p>
    <w:p w14:paraId="244E666F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Спровођење истраживања</w:t>
      </w: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</w:t>
      </w:r>
    </w:p>
    <w:p w14:paraId="6B757EB8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- Учесници ће бити подстакнути да спроведу истраживање о утицају пројекта на њихово професионално усавршавање и практиковanje стечених вештина у настави. </w:t>
      </w:r>
    </w:p>
    <w:p w14:paraId="179346BC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- Резултати истраживања ће бити представљени у облику извештаја који ће објавити школа, чиме ће се подстаћи делjenje добрих пракси. </w:t>
      </w:r>
    </w:p>
    <w:p w14:paraId="1478B8FF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Унапређење сарадње</w:t>
      </w: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</w:t>
      </w:r>
    </w:p>
    <w:p w14:paraId="0F29984C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- Учесници ће имати задатак да успоставе сарадњу са другим школама у окружењу ради размене идеја и искустава. </w:t>
      </w:r>
    </w:p>
    <w:p w14:paraId="362DA9C3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- Иницираће се упознавања и заједнички пројекти са заинтересованима из других институција. </w:t>
      </w:r>
    </w:p>
    <w:p w14:paraId="5AC6DD23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Континуирано образовање</w:t>
      </w: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</w:t>
      </w:r>
    </w:p>
    <w:p w14:paraId="73909ED4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- После повратка, учесници ће бити охрабрени да се укључе у додатне курсеве и обуке које ће их осначити у даљем развоју и унапређењу педагошких вештина. </w:t>
      </w:r>
    </w:p>
    <w:p w14:paraId="6D8021BB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Планираће се посета стручњацима и менторима у области образовања и иновација.</w:t>
      </w:r>
    </w:p>
    <w:p w14:paraId="05108DD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Завршна напомена:</w:t>
      </w:r>
    </w:p>
    <w:p w14:paraId="16EC42E6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720"/>
        <w:jc w:val="both"/>
        <w:rPr>
          <w:rFonts w:hint="default" w:ascii="Times New Roman" w:hAnsi="Times New Roman" w:eastAsia="Microsoft YaHe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Овим извештајем се документује транспарентан и правичан поступак избора учесника за мобилност у оквиру пројекта и представља део званичне пројектне документације.</w:t>
      </w:r>
    </w:p>
    <w:p w14:paraId="513822B6">
      <w:pPr>
        <w:pStyle w:val="8"/>
        <w:keepNext w:val="0"/>
        <w:keepLines w:val="0"/>
        <w:widowControl/>
        <w:suppressLineNumbers w:val="0"/>
        <w:rPr>
          <w:rStyle w:val="9"/>
          <w:rFonts w:hint="default" w:ascii="Times New Roman" w:hAnsi="Times New Roman" w:cs="Times New Roman"/>
        </w:rPr>
      </w:pPr>
    </w:p>
    <w:p w14:paraId="6A4D3A8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Прилог: Табела усклађености кандидата са критеријумима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9"/>
        <w:gridCol w:w="1771"/>
        <w:gridCol w:w="1376"/>
        <w:gridCol w:w="1723"/>
        <w:gridCol w:w="1973"/>
        <w:gridCol w:w="1733"/>
        <w:gridCol w:w="946"/>
        <w:gridCol w:w="1779"/>
        <w:gridCol w:w="968"/>
      </w:tblGrid>
      <w:tr w14:paraId="3635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89E3B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Кандидат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/>
            <w:vAlign w:val="center"/>
          </w:tcPr>
          <w:p w14:paraId="64EB56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Усклађеност са циљевима пројекта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vAlign w:val="center"/>
          </w:tcPr>
          <w:p w14:paraId="54DDD5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Мотивација (писмо)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B842E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Допринос школи по повратку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9E7B7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Предходно учешће у пројектима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/>
            <w:vAlign w:val="center"/>
          </w:tcPr>
          <w:p w14:paraId="663F80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Спремност за дељење искуства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/>
            <w:vAlign w:val="center"/>
          </w:tcPr>
          <w:p w14:paraId="655502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Енглески језик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9D4E4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Тимски рад (школски тимови)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5D5E55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Укупна оцена</w:t>
            </w:r>
          </w:p>
        </w:tc>
      </w:tr>
      <w:tr w14:paraId="44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C113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Слађана Петковић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/>
            <w:vAlign w:val="center"/>
          </w:tcPr>
          <w:p w14:paraId="22A58B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vAlign w:val="center"/>
          </w:tcPr>
          <w:p w14:paraId="7958C2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4DB3B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B3775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/>
            <w:vAlign w:val="center"/>
          </w:tcPr>
          <w:p w14:paraId="6C865B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/>
            <w:vAlign w:val="center"/>
          </w:tcPr>
          <w:p w14:paraId="2B296B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4FCBF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720C70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 / 7</w:t>
            </w:r>
          </w:p>
        </w:tc>
      </w:tr>
      <w:tr w14:paraId="5A1D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47F486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Ана Антић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/>
            <w:vAlign w:val="center"/>
          </w:tcPr>
          <w:p w14:paraId="6C8D7F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vAlign w:val="center"/>
          </w:tcPr>
          <w:p w14:paraId="695F43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5E183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DACE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/>
            <w:vAlign w:val="center"/>
          </w:tcPr>
          <w:p w14:paraId="64C79B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/>
            <w:vAlign w:val="center"/>
          </w:tcPr>
          <w:p w14:paraId="0F934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12A8EA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E122A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sr-Cyrl-RS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/ 7</w:t>
            </w:r>
          </w:p>
        </w:tc>
      </w:tr>
      <w:tr w14:paraId="1112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FA109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Радмила Петровић Цветковић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/>
            <w:vAlign w:val="center"/>
          </w:tcPr>
          <w:p w14:paraId="45A6E7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vAlign w:val="center"/>
          </w:tcPr>
          <w:p w14:paraId="24766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10AA1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6D961E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/>
            <w:vAlign w:val="center"/>
          </w:tcPr>
          <w:p w14:paraId="107F2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/>
            <w:vAlign w:val="center"/>
          </w:tcPr>
          <w:p w14:paraId="13D0A3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~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39950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0A5F46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 / 7</w:t>
            </w:r>
          </w:p>
        </w:tc>
      </w:tr>
      <w:tr w14:paraId="0B8A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EE40F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Маријана Кузељевић Јовановић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/>
            <w:vAlign w:val="center"/>
          </w:tcPr>
          <w:p w14:paraId="7E2FA0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vAlign w:val="center"/>
          </w:tcPr>
          <w:p w14:paraId="0EE753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49FA4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5733BB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~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/>
            <w:vAlign w:val="center"/>
          </w:tcPr>
          <w:p w14:paraId="55B068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/>
            <w:vAlign w:val="center"/>
          </w:tcPr>
          <w:p w14:paraId="4E9CDB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222FD7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center"/>
          </w:tcPr>
          <w:p w14:paraId="35AE53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sr-Cyrl-RS" w:eastAsia="zh-CN" w:bidi="ar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/ 7</w:t>
            </w:r>
          </w:p>
        </w:tc>
      </w:tr>
    </w:tbl>
    <w:p w14:paraId="6B5E8F49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0B31E608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У Школи</w:t>
      </w:r>
      <w:r>
        <w:rPr>
          <w:rStyle w:val="9"/>
          <w:rFonts w:hint="default"/>
          <w:lang w:val="sr-Cyrl-RS"/>
        </w:rPr>
        <w:t xml:space="preserve">: ,,Краљ Петар </w:t>
      </w:r>
      <w:r>
        <w:rPr>
          <w:rStyle w:val="9"/>
          <w:rFonts w:hint="default"/>
          <w:lang w:val="sr-Latn-RS"/>
        </w:rPr>
        <w:t xml:space="preserve">I </w:t>
      </w:r>
      <w:r>
        <w:rPr>
          <w:rStyle w:val="9"/>
          <w:rFonts w:hint="default"/>
          <w:lang w:val="sr-Cyrl-RS"/>
        </w:rPr>
        <w:t>Ослободилац”, Корбевац</w:t>
      </w:r>
      <w:r>
        <w:br w:type="textWrapping"/>
      </w:r>
      <w:r>
        <w:rPr>
          <w:rStyle w:val="9"/>
        </w:rPr>
        <w:t>30. април 2025. године</w:t>
      </w:r>
    </w:p>
    <w:p w14:paraId="08CF5D9F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Чланови комисије:</w:t>
      </w:r>
    </w:p>
    <w:p w14:paraId="4D8AC641">
      <w:pPr>
        <w:pStyle w:val="8"/>
        <w:keepNext w:val="0"/>
        <w:keepLines w:val="0"/>
        <w:widowControl/>
        <w:suppressLineNumbers w:val="0"/>
        <w:ind w:left="720"/>
      </w:pPr>
      <w:r>
        <w:t>Јелена Симић</w:t>
      </w:r>
    </w:p>
    <w:p w14:paraId="23EBDB46">
      <w:pPr>
        <w:pStyle w:val="8"/>
        <w:keepNext w:val="0"/>
        <w:keepLines w:val="0"/>
        <w:widowControl/>
        <w:suppressLineNumbers w:val="0"/>
        <w:ind w:left="720"/>
      </w:pPr>
      <w:r>
        <w:t>Александар Величковић</w:t>
      </w:r>
    </w:p>
    <w:p w14:paraId="60C91CB6">
      <w:pPr>
        <w:pStyle w:val="8"/>
        <w:keepNext w:val="0"/>
        <w:keepLines w:val="0"/>
        <w:widowControl/>
        <w:suppressLineNumbers w:val="0"/>
        <w:ind w:left="720"/>
      </w:pPr>
      <w:r>
        <w:t>Данијела Трајковић</w:t>
      </w:r>
    </w:p>
    <w:p w14:paraId="1C7B0A20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E2E44"/>
    <w:multiLevelType w:val="singleLevel"/>
    <w:tmpl w:val="894E2E4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98141AB"/>
    <w:multiLevelType w:val="singleLevel"/>
    <w:tmpl w:val="998141A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0609D"/>
    <w:rsid w:val="056130A8"/>
    <w:rsid w:val="1A923926"/>
    <w:rsid w:val="2990609D"/>
    <w:rsid w:val="32862801"/>
    <w:rsid w:val="34692612"/>
    <w:rsid w:val="73515738"/>
    <w:rsid w:val="7590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2025-05-04T19:13:00Z</dcterms:created>
  <dc:creator>Marijana Kuzeljevic Jovanovic</dc:creator>
  <cp:lastModifiedBy>Marijana Kuzeljevic Jovanovic</cp:lastModifiedBy>
  <dcterms:modified xsi:type="dcterms:W3CDTF">2025-05-04T21:20:22Z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F79ED9ECCE7D459582456E8BB726AAA8_11</vt:lpwstr>
  </property>
</Properties>
</file>